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C50C" w14:textId="377FBC56" w:rsidR="009979EF" w:rsidRDefault="009979EF" w:rsidP="00C723D9">
      <w:pPr>
        <w:rPr>
          <w:rFonts w:ascii="Poppins" w:hAnsi="Poppins" w:cs="Poppins"/>
          <w:b/>
          <w:bCs/>
          <w:sz w:val="28"/>
          <w:szCs w:val="28"/>
        </w:rPr>
      </w:pPr>
    </w:p>
    <w:p w14:paraId="536937A8" w14:textId="25DE8061" w:rsidR="00C723D9" w:rsidRPr="009979EF" w:rsidRDefault="00C723D9" w:rsidP="00C723D9">
      <w:pPr>
        <w:rPr>
          <w:rFonts w:ascii="Poppins" w:hAnsi="Poppins" w:cs="Poppins"/>
          <w:b/>
          <w:bCs/>
          <w:sz w:val="28"/>
          <w:szCs w:val="28"/>
        </w:rPr>
      </w:pPr>
      <w:r w:rsidRPr="009979EF">
        <w:rPr>
          <w:rFonts w:ascii="Poppins" w:hAnsi="Poppins" w:cs="Poppins"/>
          <w:b/>
          <w:bCs/>
          <w:sz w:val="28"/>
          <w:szCs w:val="28"/>
        </w:rPr>
        <w:t>Terms and Conditions</w:t>
      </w:r>
    </w:p>
    <w:p w14:paraId="068912F5" w14:textId="77777777" w:rsidR="00C723D9" w:rsidRPr="009979EF" w:rsidRDefault="00C723D9" w:rsidP="00C723D9">
      <w:pPr>
        <w:spacing w:after="120"/>
        <w:jc w:val="both"/>
        <w:rPr>
          <w:rFonts w:ascii="Poppins" w:hAnsi="Poppins" w:cs="Poppins"/>
          <w:b/>
          <w:bCs/>
          <w:sz w:val="22"/>
          <w:szCs w:val="22"/>
        </w:rPr>
      </w:pPr>
    </w:p>
    <w:p w14:paraId="53A8FC32" w14:textId="77777777"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Introduction</w:t>
      </w:r>
    </w:p>
    <w:p w14:paraId="14DFF70A" w14:textId="77777777" w:rsidR="00C723D9" w:rsidRPr="009979EF" w:rsidRDefault="00C723D9" w:rsidP="00C723D9">
      <w:pPr>
        <w:spacing w:after="120"/>
        <w:jc w:val="both"/>
        <w:rPr>
          <w:rFonts w:ascii="Poppins" w:hAnsi="Poppins" w:cs="Poppins"/>
          <w:b/>
          <w:bCs/>
          <w:sz w:val="22"/>
          <w:szCs w:val="22"/>
        </w:rPr>
      </w:pPr>
      <w:r w:rsidRPr="009979EF">
        <w:rPr>
          <w:rFonts w:ascii="Poppins" w:hAnsi="Poppins" w:cs="Poppins"/>
          <w:sz w:val="22"/>
          <w:szCs w:val="22"/>
        </w:rPr>
        <w:t>These Terms and Conditions govern participation in training courses provided by Glanville Training Academy. By booking or attending any training course, you agree to these terms.</w:t>
      </w:r>
    </w:p>
    <w:p w14:paraId="6F14EB2F" w14:textId="77777777"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 xml:space="preserve">Bookings </w:t>
      </w:r>
    </w:p>
    <w:p w14:paraId="108F5EE4"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All fees must be paid on receipt of invoice or in strict accordance with payment terms for account customers. </w:t>
      </w:r>
    </w:p>
    <w:p w14:paraId="67380B32"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A booking is confirmed only once payment has been received (or a purchase order is issued, where applicable)</w:t>
      </w:r>
    </w:p>
    <w:p w14:paraId="6C126A1C"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We reserve the right to refuse admission if payment has not been received.</w:t>
      </w:r>
    </w:p>
    <w:p w14:paraId="197D920F" w14:textId="77777777"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 xml:space="preserve">Transfer Charges </w:t>
      </w:r>
    </w:p>
    <w:p w14:paraId="015913DB"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If you wish to transfer any courses or services after booking, there will be a £25 administration charge.</w:t>
      </w:r>
    </w:p>
    <w:p w14:paraId="515B7A32" w14:textId="290A8FBD"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Cancellation</w:t>
      </w:r>
      <w:r w:rsidR="00637207" w:rsidRPr="009979EF">
        <w:rPr>
          <w:rFonts w:ascii="Poppins" w:hAnsi="Poppins" w:cs="Poppins"/>
          <w:b/>
          <w:bCs/>
          <w:sz w:val="22"/>
          <w:szCs w:val="22"/>
        </w:rPr>
        <w:t>/Non-Attendance</w:t>
      </w:r>
      <w:r w:rsidRPr="009979EF">
        <w:rPr>
          <w:rFonts w:ascii="Poppins" w:hAnsi="Poppins" w:cs="Poppins"/>
          <w:b/>
          <w:bCs/>
          <w:sz w:val="22"/>
          <w:szCs w:val="22"/>
        </w:rPr>
        <w:t xml:space="preserve"> Charges </w:t>
      </w:r>
    </w:p>
    <w:p w14:paraId="3D6BAE80"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If you wish to cancel any course or service, the following charges will apply for each cancellation processed: </w:t>
      </w:r>
    </w:p>
    <w:p w14:paraId="67123DBD" w14:textId="77777777" w:rsidR="00C723D9" w:rsidRPr="009979EF" w:rsidRDefault="00C723D9" w:rsidP="00C723D9">
      <w:pPr>
        <w:spacing w:after="120"/>
        <w:jc w:val="both"/>
        <w:rPr>
          <w:rFonts w:ascii="Poppins" w:hAnsi="Poppins" w:cs="Poppins"/>
          <w:b/>
          <w:bCs/>
          <w:sz w:val="22"/>
          <w:szCs w:val="22"/>
        </w:rPr>
      </w:pPr>
    </w:p>
    <w:p w14:paraId="41D76250" w14:textId="6E54AB47"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CANCELLATION</w:t>
      </w:r>
      <w:r w:rsidR="00637207" w:rsidRPr="009979EF">
        <w:rPr>
          <w:rFonts w:ascii="Poppins" w:hAnsi="Poppins" w:cs="Poppins"/>
          <w:b/>
          <w:bCs/>
          <w:sz w:val="22"/>
          <w:szCs w:val="22"/>
        </w:rPr>
        <w:t>/NON-ATTENDANCE</w:t>
      </w:r>
      <w:r w:rsidRPr="009979EF">
        <w:rPr>
          <w:rFonts w:ascii="Poppins" w:hAnsi="Poppins" w:cs="Poppins"/>
          <w:b/>
          <w:bCs/>
          <w:sz w:val="22"/>
          <w:szCs w:val="22"/>
        </w:rPr>
        <w:t xml:space="preserve"> CHARGES – All courses except Deep Ex Courses</w:t>
      </w:r>
    </w:p>
    <w:p w14:paraId="7EE36B0E"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The following reduced charges will be applied for the cancellation of any course or service: </w:t>
      </w:r>
    </w:p>
    <w:tbl>
      <w:tblPr>
        <w:tblW w:w="0" w:type="auto"/>
        <w:jc w:val="center"/>
        <w:tblCellMar>
          <w:left w:w="0" w:type="dxa"/>
          <w:right w:w="0" w:type="dxa"/>
        </w:tblCellMar>
        <w:tblLook w:val="04A0" w:firstRow="1" w:lastRow="0" w:firstColumn="1" w:lastColumn="0" w:noHBand="0" w:noVBand="1"/>
      </w:tblPr>
      <w:tblGrid>
        <w:gridCol w:w="3681"/>
        <w:gridCol w:w="3685"/>
      </w:tblGrid>
      <w:tr w:rsidR="009979EF" w:rsidRPr="009979EF" w14:paraId="61F7785F" w14:textId="77777777" w:rsidTr="009979EF">
        <w:trPr>
          <w:jc w:val="center"/>
        </w:trPr>
        <w:tc>
          <w:tcPr>
            <w:tcW w:w="3681"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58EE9AD"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Notice Period</w:t>
            </w:r>
          </w:p>
        </w:tc>
        <w:tc>
          <w:tcPr>
            <w:tcW w:w="3685"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06A779C7"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Fees</w:t>
            </w:r>
          </w:p>
        </w:tc>
      </w:tr>
      <w:tr w:rsidR="009979EF" w:rsidRPr="009979EF" w14:paraId="1AC18309"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AD60"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5 or less working days</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FF5260D"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Full fee payable</w:t>
            </w:r>
          </w:p>
        </w:tc>
      </w:tr>
      <w:tr w:rsidR="009979EF" w:rsidRPr="009979EF" w14:paraId="35CB60BF"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CC099"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6 to 15 working inclusive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6055645"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 xml:space="preserve">40% course/service fee payable </w:t>
            </w:r>
          </w:p>
        </w:tc>
      </w:tr>
      <w:tr w:rsidR="009979EF" w:rsidRPr="009979EF" w14:paraId="2BAC6FCF"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B4465"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16 to 20 working days inclusive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08BBBB2"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15% course/service fee payable</w:t>
            </w:r>
          </w:p>
        </w:tc>
      </w:tr>
      <w:tr w:rsidR="00C723D9" w:rsidRPr="009979EF" w14:paraId="57037FB5"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A315E"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21 working days or more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6549C77"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No charge</w:t>
            </w:r>
          </w:p>
        </w:tc>
      </w:tr>
    </w:tbl>
    <w:p w14:paraId="3C4733F9" w14:textId="77777777" w:rsidR="00C723D9" w:rsidRDefault="00C723D9" w:rsidP="00C723D9">
      <w:pPr>
        <w:pStyle w:val="Heading3"/>
        <w:rPr>
          <w:rFonts w:ascii="Poppins" w:eastAsia="Times New Roman" w:hAnsi="Poppins" w:cs="Poppins"/>
          <w:color w:val="auto"/>
          <w:sz w:val="22"/>
          <w:szCs w:val="22"/>
        </w:rPr>
      </w:pPr>
    </w:p>
    <w:p w14:paraId="095919AD" w14:textId="77777777" w:rsidR="009979EF" w:rsidRDefault="009979EF" w:rsidP="009979EF"/>
    <w:p w14:paraId="7A4AD750" w14:textId="77777777" w:rsidR="009979EF" w:rsidRDefault="009979EF" w:rsidP="009979EF"/>
    <w:p w14:paraId="53EC806B" w14:textId="77777777" w:rsidR="009979EF" w:rsidRDefault="009979EF" w:rsidP="009979EF"/>
    <w:p w14:paraId="3C62DD4D" w14:textId="77777777" w:rsidR="009979EF" w:rsidRPr="009979EF" w:rsidRDefault="009979EF" w:rsidP="009979EF"/>
    <w:p w14:paraId="12A19C8B" w14:textId="06E3BD07" w:rsidR="00C723D9" w:rsidRPr="009979EF" w:rsidRDefault="00C723D9" w:rsidP="00C723D9">
      <w:pPr>
        <w:rPr>
          <w:rFonts w:ascii="Poppins" w:hAnsi="Poppins" w:cs="Poppins"/>
          <w:b/>
          <w:bCs/>
          <w:sz w:val="22"/>
          <w:szCs w:val="22"/>
        </w:rPr>
      </w:pPr>
      <w:r w:rsidRPr="009979EF">
        <w:rPr>
          <w:rFonts w:ascii="Poppins" w:hAnsi="Poppins" w:cs="Poppins"/>
          <w:b/>
          <w:bCs/>
          <w:sz w:val="22"/>
          <w:szCs w:val="22"/>
        </w:rPr>
        <w:t>CANCELLATION</w:t>
      </w:r>
      <w:r w:rsidR="00637207" w:rsidRPr="009979EF">
        <w:rPr>
          <w:rFonts w:ascii="Poppins" w:hAnsi="Poppins" w:cs="Poppins"/>
          <w:b/>
          <w:bCs/>
          <w:sz w:val="22"/>
          <w:szCs w:val="22"/>
        </w:rPr>
        <w:t>/NON-ATTENDANCE</w:t>
      </w:r>
      <w:r w:rsidRPr="009979EF">
        <w:rPr>
          <w:rFonts w:ascii="Poppins" w:hAnsi="Poppins" w:cs="Poppins"/>
          <w:b/>
          <w:bCs/>
          <w:sz w:val="22"/>
          <w:szCs w:val="22"/>
        </w:rPr>
        <w:t xml:space="preserve"> CHARGES - Deep Ex Courses</w:t>
      </w:r>
    </w:p>
    <w:p w14:paraId="5CFF461A" w14:textId="77777777" w:rsidR="00C723D9" w:rsidRDefault="00C723D9" w:rsidP="00C723D9">
      <w:pPr>
        <w:rPr>
          <w:rFonts w:ascii="Poppins" w:hAnsi="Poppins" w:cs="Poppins"/>
          <w:sz w:val="22"/>
          <w:szCs w:val="22"/>
        </w:rPr>
      </w:pPr>
      <w:r w:rsidRPr="009979EF">
        <w:rPr>
          <w:rFonts w:ascii="Poppins" w:hAnsi="Poppins" w:cs="Poppins"/>
          <w:sz w:val="22"/>
          <w:szCs w:val="22"/>
        </w:rPr>
        <w:t>Due to the nature of the Deep Ex course, it is necessary to increase the amount payable at the set notice periods:</w:t>
      </w:r>
    </w:p>
    <w:p w14:paraId="1DA7B878" w14:textId="77777777" w:rsidR="009979EF" w:rsidRPr="009979EF" w:rsidRDefault="009979EF" w:rsidP="00C723D9">
      <w:pPr>
        <w:rPr>
          <w:rFonts w:ascii="Poppins" w:hAnsi="Poppins" w:cs="Poppins"/>
          <w:sz w:val="22"/>
          <w:szCs w:val="22"/>
        </w:rPr>
      </w:pPr>
    </w:p>
    <w:tbl>
      <w:tblPr>
        <w:tblW w:w="0" w:type="auto"/>
        <w:jc w:val="center"/>
        <w:tblCellMar>
          <w:left w:w="0" w:type="dxa"/>
          <w:right w:w="0" w:type="dxa"/>
        </w:tblCellMar>
        <w:tblLook w:val="04A0" w:firstRow="1" w:lastRow="0" w:firstColumn="1" w:lastColumn="0" w:noHBand="0" w:noVBand="1"/>
      </w:tblPr>
      <w:tblGrid>
        <w:gridCol w:w="3681"/>
        <w:gridCol w:w="3685"/>
      </w:tblGrid>
      <w:tr w:rsidR="009979EF" w:rsidRPr="009979EF" w14:paraId="28229889" w14:textId="77777777" w:rsidTr="009979EF">
        <w:trPr>
          <w:jc w:val="center"/>
        </w:trPr>
        <w:tc>
          <w:tcPr>
            <w:tcW w:w="3681"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83149D5"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Notice Period</w:t>
            </w:r>
          </w:p>
        </w:tc>
        <w:tc>
          <w:tcPr>
            <w:tcW w:w="3685"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5EA49EC"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Fees</w:t>
            </w:r>
          </w:p>
        </w:tc>
      </w:tr>
      <w:tr w:rsidR="009979EF" w:rsidRPr="009979EF" w14:paraId="60F410F0"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28347"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5 or less working days</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CB32DE2"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Full fee payable</w:t>
            </w:r>
          </w:p>
        </w:tc>
      </w:tr>
      <w:tr w:rsidR="009979EF" w:rsidRPr="009979EF" w14:paraId="2AD0D84F"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ABF3A"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6 to 15 working inclusive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EC6C718"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 xml:space="preserve">50% course/service fee payable </w:t>
            </w:r>
          </w:p>
        </w:tc>
      </w:tr>
      <w:tr w:rsidR="009979EF" w:rsidRPr="009979EF" w14:paraId="4AA17FC8"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71A74"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16 to 20 working days inclusive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08EA01F"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25% course/service fee payable</w:t>
            </w:r>
          </w:p>
        </w:tc>
      </w:tr>
      <w:tr w:rsidR="00C723D9" w:rsidRPr="009979EF" w14:paraId="0774B25B"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FF02D"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21 working days or more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89DC3FD"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No charge</w:t>
            </w:r>
          </w:p>
        </w:tc>
      </w:tr>
    </w:tbl>
    <w:p w14:paraId="22EB00B0" w14:textId="77777777" w:rsidR="00C723D9" w:rsidRPr="009979EF" w:rsidRDefault="00C723D9" w:rsidP="00C723D9">
      <w:pPr>
        <w:rPr>
          <w:rFonts w:ascii="Poppins" w:hAnsi="Poppins" w:cs="Poppins"/>
          <w:b/>
          <w:bCs/>
          <w:sz w:val="22"/>
          <w:szCs w:val="22"/>
          <w:lang w:val="en-GB"/>
        </w:rPr>
      </w:pPr>
    </w:p>
    <w:p w14:paraId="2BDCF104" w14:textId="77777777" w:rsidR="001D7A42" w:rsidRPr="009979EF" w:rsidRDefault="001D7A42" w:rsidP="00C723D9">
      <w:pPr>
        <w:rPr>
          <w:rFonts w:ascii="Poppins" w:hAnsi="Poppins" w:cs="Poppins"/>
          <w:b/>
          <w:bCs/>
          <w:sz w:val="22"/>
          <w:szCs w:val="22"/>
        </w:rPr>
      </w:pPr>
    </w:p>
    <w:p w14:paraId="2C86192F" w14:textId="7E634D40" w:rsidR="00C723D9" w:rsidRPr="009979EF" w:rsidRDefault="00C723D9" w:rsidP="00C723D9">
      <w:pPr>
        <w:rPr>
          <w:rFonts w:ascii="Poppins" w:hAnsi="Poppins" w:cs="Poppins"/>
          <w:b/>
          <w:bCs/>
          <w:sz w:val="22"/>
          <w:szCs w:val="22"/>
        </w:rPr>
      </w:pPr>
      <w:r w:rsidRPr="009979EF">
        <w:rPr>
          <w:rFonts w:ascii="Poppins" w:hAnsi="Poppins" w:cs="Poppins"/>
          <w:b/>
          <w:bCs/>
          <w:sz w:val="22"/>
          <w:szCs w:val="22"/>
        </w:rPr>
        <w:t>CANCELLATION</w:t>
      </w:r>
      <w:r w:rsidR="00637207" w:rsidRPr="009979EF">
        <w:rPr>
          <w:rFonts w:ascii="Poppins" w:hAnsi="Poppins" w:cs="Poppins"/>
          <w:b/>
          <w:bCs/>
          <w:sz w:val="22"/>
          <w:szCs w:val="22"/>
        </w:rPr>
        <w:t xml:space="preserve">/NON-ATTENDANCE </w:t>
      </w:r>
      <w:r w:rsidRPr="009979EF">
        <w:rPr>
          <w:rFonts w:ascii="Poppins" w:hAnsi="Poppins" w:cs="Poppins"/>
          <w:b/>
          <w:bCs/>
          <w:sz w:val="22"/>
          <w:szCs w:val="22"/>
        </w:rPr>
        <w:t>CHARGES – Corporate/Private Course Bookings</w:t>
      </w:r>
    </w:p>
    <w:p w14:paraId="2F80F139" w14:textId="77777777" w:rsidR="00C723D9" w:rsidRDefault="00C723D9" w:rsidP="00C723D9">
      <w:pPr>
        <w:rPr>
          <w:rFonts w:ascii="Poppins" w:hAnsi="Poppins" w:cs="Poppins"/>
          <w:sz w:val="22"/>
          <w:szCs w:val="22"/>
        </w:rPr>
      </w:pPr>
      <w:r w:rsidRPr="009979EF">
        <w:rPr>
          <w:rFonts w:ascii="Poppins" w:hAnsi="Poppins" w:cs="Poppins"/>
          <w:sz w:val="22"/>
          <w:szCs w:val="22"/>
        </w:rPr>
        <w:t>Where a company has booked a dedicated/private course for its staff:</w:t>
      </w:r>
    </w:p>
    <w:p w14:paraId="5CD4234A" w14:textId="77777777" w:rsidR="009979EF" w:rsidRPr="009979EF" w:rsidRDefault="009979EF" w:rsidP="00C723D9">
      <w:pPr>
        <w:rPr>
          <w:rFonts w:ascii="Poppins" w:hAnsi="Poppins" w:cs="Poppins"/>
          <w:sz w:val="22"/>
          <w:szCs w:val="22"/>
        </w:rPr>
      </w:pPr>
    </w:p>
    <w:tbl>
      <w:tblPr>
        <w:tblW w:w="0" w:type="auto"/>
        <w:jc w:val="center"/>
        <w:tblCellMar>
          <w:left w:w="0" w:type="dxa"/>
          <w:right w:w="0" w:type="dxa"/>
        </w:tblCellMar>
        <w:tblLook w:val="04A0" w:firstRow="1" w:lastRow="0" w:firstColumn="1" w:lastColumn="0" w:noHBand="0" w:noVBand="1"/>
      </w:tblPr>
      <w:tblGrid>
        <w:gridCol w:w="3681"/>
        <w:gridCol w:w="3685"/>
      </w:tblGrid>
      <w:tr w:rsidR="009979EF" w:rsidRPr="009979EF" w14:paraId="7C3A95A6" w14:textId="77777777" w:rsidTr="009979EF">
        <w:trPr>
          <w:jc w:val="center"/>
        </w:trPr>
        <w:tc>
          <w:tcPr>
            <w:tcW w:w="3681"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00B2E6B0"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Notice Period</w:t>
            </w:r>
          </w:p>
        </w:tc>
        <w:tc>
          <w:tcPr>
            <w:tcW w:w="3685"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6A488C48"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Fees</w:t>
            </w:r>
          </w:p>
        </w:tc>
      </w:tr>
      <w:tr w:rsidR="009979EF" w:rsidRPr="009979EF" w14:paraId="0BB9C788"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BF165"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14 or less working days</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9B8A5B5"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Full fee payable</w:t>
            </w:r>
          </w:p>
        </w:tc>
      </w:tr>
      <w:tr w:rsidR="009979EF" w:rsidRPr="009979EF" w14:paraId="43DAF1C0"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8576A"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15 to 20 working inclusive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3AE6163"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 xml:space="preserve">50% course/service fee payable </w:t>
            </w:r>
          </w:p>
        </w:tc>
      </w:tr>
      <w:tr w:rsidR="009979EF" w:rsidRPr="009979EF" w14:paraId="61EB7901"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923F9"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21 to 28 working days inclusive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F65DD66"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25% course/service fee payable</w:t>
            </w:r>
          </w:p>
        </w:tc>
      </w:tr>
      <w:tr w:rsidR="00C723D9" w:rsidRPr="009979EF" w14:paraId="16FB128F" w14:textId="77777777">
        <w:trPr>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E0B3C" w14:textId="77777777" w:rsidR="00C723D9" w:rsidRPr="009979EF" w:rsidRDefault="00C723D9">
            <w:pPr>
              <w:rPr>
                <w:rFonts w:ascii="Poppins" w:hAnsi="Poppins" w:cs="Poppins"/>
                <w:sz w:val="22"/>
                <w:szCs w:val="22"/>
                <w14:ligatures w14:val="none"/>
              </w:rPr>
            </w:pPr>
            <w:r w:rsidRPr="009979EF">
              <w:rPr>
                <w:rFonts w:ascii="Poppins" w:hAnsi="Poppins" w:cs="Poppins"/>
                <w:sz w:val="22"/>
                <w:szCs w:val="22"/>
                <w14:ligatures w14:val="none"/>
              </w:rPr>
              <w:t>29 working days or more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151B78A" w14:textId="77777777" w:rsidR="00C723D9" w:rsidRPr="009979EF" w:rsidRDefault="00C723D9">
            <w:pPr>
              <w:rPr>
                <w:rFonts w:ascii="Poppins" w:hAnsi="Poppins" w:cs="Poppins"/>
                <w:b/>
                <w:bCs/>
                <w:sz w:val="22"/>
                <w:szCs w:val="22"/>
                <w14:ligatures w14:val="none"/>
              </w:rPr>
            </w:pPr>
            <w:r w:rsidRPr="009979EF">
              <w:rPr>
                <w:rFonts w:ascii="Poppins" w:hAnsi="Poppins" w:cs="Poppins"/>
                <w:b/>
                <w:bCs/>
                <w:sz w:val="22"/>
                <w:szCs w:val="22"/>
                <w14:ligatures w14:val="none"/>
              </w:rPr>
              <w:t>No charge</w:t>
            </w:r>
          </w:p>
        </w:tc>
      </w:tr>
    </w:tbl>
    <w:p w14:paraId="3903C13B" w14:textId="77777777" w:rsidR="00C723D9" w:rsidRPr="009979EF" w:rsidRDefault="00C723D9" w:rsidP="00C723D9">
      <w:pPr>
        <w:rPr>
          <w:rFonts w:ascii="Poppins" w:hAnsi="Poppins" w:cs="Poppins"/>
          <w:b/>
          <w:bCs/>
          <w:sz w:val="22"/>
          <w:szCs w:val="22"/>
          <w:lang w:val="en-GB"/>
        </w:rPr>
      </w:pPr>
    </w:p>
    <w:p w14:paraId="6018C0A2" w14:textId="77777777" w:rsidR="00C723D9" w:rsidRPr="009979EF" w:rsidRDefault="00C723D9" w:rsidP="00C723D9">
      <w:pPr>
        <w:rPr>
          <w:rFonts w:ascii="Poppins" w:hAnsi="Poppins" w:cs="Poppins"/>
          <w:b/>
          <w:bCs/>
          <w:sz w:val="22"/>
          <w:szCs w:val="22"/>
        </w:rPr>
      </w:pPr>
      <w:r w:rsidRPr="009979EF">
        <w:rPr>
          <w:rFonts w:ascii="Poppins" w:hAnsi="Poppins" w:cs="Poppins"/>
          <w:sz w:val="22"/>
          <w:szCs w:val="22"/>
        </w:rPr>
        <w:t>This policy reflects the costs of trainer commitments, venue reservations, preparation, and the loss of business resulting from releasing the course date.</w:t>
      </w:r>
    </w:p>
    <w:p w14:paraId="2C3BC7D1" w14:textId="77777777" w:rsidR="00637207" w:rsidRPr="009979EF" w:rsidRDefault="00637207" w:rsidP="00C723D9">
      <w:pPr>
        <w:spacing w:after="120"/>
        <w:rPr>
          <w:rFonts w:ascii="Poppins" w:hAnsi="Poppins" w:cs="Poppins"/>
          <w:b/>
          <w:bCs/>
          <w:sz w:val="22"/>
          <w:szCs w:val="22"/>
        </w:rPr>
      </w:pPr>
    </w:p>
    <w:p w14:paraId="30A2FCA4" w14:textId="2BE1D85B" w:rsidR="00C723D9" w:rsidRPr="009979EF" w:rsidRDefault="00C723D9" w:rsidP="00C723D9">
      <w:pPr>
        <w:spacing w:after="120"/>
        <w:rPr>
          <w:rFonts w:ascii="Poppins" w:hAnsi="Poppins" w:cs="Poppins"/>
          <w:b/>
          <w:bCs/>
          <w:sz w:val="22"/>
          <w:szCs w:val="22"/>
        </w:rPr>
      </w:pPr>
      <w:r w:rsidRPr="009979EF">
        <w:rPr>
          <w:rFonts w:ascii="Poppins" w:hAnsi="Poppins" w:cs="Poppins"/>
          <w:b/>
          <w:bCs/>
          <w:sz w:val="22"/>
          <w:szCs w:val="22"/>
        </w:rPr>
        <w:t xml:space="preserve">Change to </w:t>
      </w:r>
      <w:r w:rsidR="009979EF" w:rsidRPr="009979EF">
        <w:rPr>
          <w:rFonts w:ascii="Poppins" w:hAnsi="Poppins" w:cs="Poppins"/>
          <w:b/>
          <w:bCs/>
          <w:sz w:val="22"/>
          <w:szCs w:val="22"/>
        </w:rPr>
        <w:t>our</w:t>
      </w:r>
      <w:r w:rsidRPr="009979EF">
        <w:rPr>
          <w:rFonts w:ascii="Poppins" w:hAnsi="Poppins" w:cs="Poppins"/>
          <w:b/>
          <w:bCs/>
          <w:sz w:val="22"/>
          <w:szCs w:val="22"/>
        </w:rPr>
        <w:t xml:space="preserve"> Cancellation of Courses or Services </w:t>
      </w:r>
    </w:p>
    <w:p w14:paraId="77C2E7BB"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Course contents, prices and dates are correct at the time of publication. From time to </w:t>
      </w:r>
      <w:proofErr w:type="gramStart"/>
      <w:r w:rsidRPr="009979EF">
        <w:rPr>
          <w:rFonts w:ascii="Poppins" w:hAnsi="Poppins" w:cs="Poppins"/>
          <w:sz w:val="22"/>
          <w:szCs w:val="22"/>
        </w:rPr>
        <w:t>time</w:t>
      </w:r>
      <w:proofErr w:type="gramEnd"/>
      <w:r w:rsidRPr="009979EF">
        <w:rPr>
          <w:rFonts w:ascii="Poppins" w:hAnsi="Poppins" w:cs="Poppins"/>
          <w:sz w:val="22"/>
          <w:szCs w:val="22"/>
        </w:rPr>
        <w:t xml:space="preserve"> it may be necessary, for reasons beyond our control, to change the content, timing or price of a course. In cases where it is inadvisable to go ahead with the planned training / consultancy service (e.g. due to weather / flood warnings being issued), every effort will be made by Glanville Training Academy to provide advance notification of any such cancellation. In the event of a course or service being cancelled, clients will be offered an alternative date, credit note or full refund. </w:t>
      </w:r>
    </w:p>
    <w:p w14:paraId="3771B639" w14:textId="77777777" w:rsidR="009979EF" w:rsidRDefault="009979EF" w:rsidP="00C723D9">
      <w:pPr>
        <w:spacing w:after="120"/>
        <w:rPr>
          <w:rFonts w:ascii="Poppins" w:hAnsi="Poppins" w:cs="Poppins"/>
          <w:b/>
          <w:bCs/>
          <w:sz w:val="22"/>
          <w:szCs w:val="22"/>
        </w:rPr>
      </w:pPr>
      <w:bookmarkStart w:id="0" w:name="_Hlk206667007"/>
    </w:p>
    <w:p w14:paraId="64A163D0" w14:textId="77777777" w:rsidR="009979EF" w:rsidRDefault="009979EF" w:rsidP="00C723D9">
      <w:pPr>
        <w:spacing w:after="120"/>
        <w:rPr>
          <w:rFonts w:ascii="Poppins" w:hAnsi="Poppins" w:cs="Poppins"/>
          <w:b/>
          <w:bCs/>
          <w:sz w:val="22"/>
          <w:szCs w:val="22"/>
        </w:rPr>
      </w:pPr>
    </w:p>
    <w:p w14:paraId="0B40EE11" w14:textId="2068841F" w:rsidR="00C723D9" w:rsidRPr="009979EF" w:rsidRDefault="00C723D9" w:rsidP="00C723D9">
      <w:pPr>
        <w:spacing w:after="120"/>
        <w:rPr>
          <w:rFonts w:ascii="Poppins" w:hAnsi="Poppins" w:cs="Poppins"/>
          <w:b/>
          <w:bCs/>
          <w:sz w:val="22"/>
          <w:szCs w:val="22"/>
        </w:rPr>
      </w:pPr>
      <w:r w:rsidRPr="009979EF">
        <w:rPr>
          <w:rFonts w:ascii="Poppins" w:hAnsi="Poppins" w:cs="Poppins"/>
          <w:b/>
          <w:bCs/>
          <w:sz w:val="22"/>
          <w:szCs w:val="22"/>
        </w:rPr>
        <w:lastRenderedPageBreak/>
        <w:t>Delegate Responsibilities</w:t>
      </w:r>
    </w:p>
    <w:p w14:paraId="54F9C2D7" w14:textId="77777777" w:rsidR="00C723D9" w:rsidRPr="009979EF" w:rsidRDefault="00C723D9" w:rsidP="00C723D9">
      <w:pPr>
        <w:spacing w:after="120"/>
        <w:rPr>
          <w:rFonts w:ascii="Poppins" w:hAnsi="Poppins" w:cs="Poppins"/>
          <w:sz w:val="22"/>
          <w:szCs w:val="22"/>
        </w:rPr>
      </w:pPr>
      <w:r w:rsidRPr="009979EF">
        <w:rPr>
          <w:rFonts w:ascii="Poppins" w:hAnsi="Poppins" w:cs="Poppins"/>
          <w:sz w:val="22"/>
          <w:szCs w:val="22"/>
        </w:rPr>
        <w:t>Participants must arrive on time and attend all scheduled sessions. Inappropriate behaviour may result in removal from the course without refund.</w:t>
      </w:r>
    </w:p>
    <w:p w14:paraId="0CB48295" w14:textId="77777777" w:rsidR="00C723D9" w:rsidRPr="009979EF" w:rsidRDefault="00C723D9" w:rsidP="00C723D9">
      <w:pPr>
        <w:spacing w:after="120"/>
        <w:rPr>
          <w:rFonts w:ascii="Poppins" w:hAnsi="Poppins" w:cs="Poppins"/>
          <w:b/>
          <w:bCs/>
          <w:sz w:val="22"/>
          <w:szCs w:val="22"/>
        </w:rPr>
      </w:pPr>
      <w:r w:rsidRPr="009979EF">
        <w:rPr>
          <w:rFonts w:ascii="Poppins" w:hAnsi="Poppins" w:cs="Poppins"/>
          <w:b/>
          <w:bCs/>
          <w:sz w:val="22"/>
          <w:szCs w:val="22"/>
        </w:rPr>
        <w:t>Intellectual Property</w:t>
      </w:r>
    </w:p>
    <w:p w14:paraId="040244C1" w14:textId="77777777" w:rsidR="00C723D9" w:rsidRPr="009979EF" w:rsidRDefault="00C723D9" w:rsidP="00C723D9">
      <w:pPr>
        <w:spacing w:after="120"/>
        <w:rPr>
          <w:rFonts w:ascii="Poppins" w:hAnsi="Poppins" w:cs="Poppins"/>
          <w:sz w:val="22"/>
          <w:szCs w:val="22"/>
        </w:rPr>
      </w:pPr>
      <w:r w:rsidRPr="009979EF">
        <w:rPr>
          <w:rFonts w:ascii="Poppins" w:hAnsi="Poppins" w:cs="Poppins"/>
          <w:sz w:val="22"/>
          <w:szCs w:val="22"/>
        </w:rPr>
        <w:t>All course materials are owned by Glanville Training Academy unless otherwise stated. Materials may not be copied, distributed, or reproduced without prior written permission.</w:t>
      </w:r>
    </w:p>
    <w:p w14:paraId="6614638C" w14:textId="77777777" w:rsidR="00C723D9" w:rsidRPr="009979EF" w:rsidRDefault="00C723D9" w:rsidP="00C723D9">
      <w:pPr>
        <w:spacing w:after="120"/>
        <w:rPr>
          <w:rFonts w:ascii="Poppins" w:hAnsi="Poppins" w:cs="Poppins"/>
          <w:b/>
          <w:bCs/>
          <w:sz w:val="22"/>
          <w:szCs w:val="22"/>
        </w:rPr>
      </w:pPr>
      <w:r w:rsidRPr="009979EF">
        <w:rPr>
          <w:rFonts w:ascii="Poppins" w:hAnsi="Poppins" w:cs="Poppins"/>
          <w:b/>
          <w:bCs/>
          <w:sz w:val="22"/>
          <w:szCs w:val="22"/>
        </w:rPr>
        <w:t>Liability</w:t>
      </w:r>
    </w:p>
    <w:p w14:paraId="373BDDFB" w14:textId="77777777" w:rsidR="00C723D9" w:rsidRPr="009979EF" w:rsidRDefault="00C723D9" w:rsidP="00C723D9">
      <w:pPr>
        <w:spacing w:after="120"/>
        <w:rPr>
          <w:rFonts w:ascii="Poppins" w:hAnsi="Poppins" w:cs="Poppins"/>
          <w:sz w:val="22"/>
          <w:szCs w:val="22"/>
        </w:rPr>
      </w:pPr>
      <w:r w:rsidRPr="009979EF">
        <w:rPr>
          <w:rFonts w:ascii="Poppins" w:hAnsi="Poppins" w:cs="Poppins"/>
          <w:sz w:val="22"/>
          <w:szCs w:val="22"/>
        </w:rPr>
        <w:t>Glanville Training Academy is not liable for any loss of income, profit, or business arising from attending (or being unable to attend) a course.</w:t>
      </w:r>
    </w:p>
    <w:p w14:paraId="0EBFC426" w14:textId="77777777" w:rsidR="00C723D9" w:rsidRPr="009979EF" w:rsidRDefault="00C723D9" w:rsidP="00C723D9">
      <w:pPr>
        <w:spacing w:after="120"/>
        <w:rPr>
          <w:rFonts w:ascii="Poppins" w:hAnsi="Poppins" w:cs="Poppins"/>
          <w:b/>
          <w:bCs/>
          <w:sz w:val="22"/>
          <w:szCs w:val="22"/>
        </w:rPr>
      </w:pPr>
      <w:r w:rsidRPr="009979EF">
        <w:rPr>
          <w:rFonts w:ascii="Poppins" w:hAnsi="Poppins" w:cs="Poppins"/>
          <w:b/>
          <w:bCs/>
          <w:sz w:val="22"/>
          <w:szCs w:val="22"/>
        </w:rPr>
        <w:t xml:space="preserve">Certification </w:t>
      </w:r>
    </w:p>
    <w:p w14:paraId="6DD490BC"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Certification will be processed upon course completion and receipt of full payment. </w:t>
      </w:r>
    </w:p>
    <w:p w14:paraId="0EC17F93" w14:textId="77777777"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Data Protection &amp; Privacy</w:t>
      </w:r>
    </w:p>
    <w:p w14:paraId="3047E6DF"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Personal data will be processed in line with our Privacy Policy.</w:t>
      </w:r>
    </w:p>
    <w:bookmarkEnd w:id="0"/>
    <w:p w14:paraId="5170C2E4" w14:textId="77777777"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 xml:space="preserve">Payment Options </w:t>
      </w:r>
    </w:p>
    <w:p w14:paraId="6DF18269"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All invoices will be raised following confirmation of booking. All fees must be paid on receipt of invoice or in strict accordance with payment terms for account customers. Please allow enough time for payment to reach us before the due date. </w:t>
      </w:r>
    </w:p>
    <w:p w14:paraId="554AEEAB" w14:textId="052A5B3C" w:rsidR="00C723D9" w:rsidRPr="009979EF" w:rsidRDefault="00C723D9" w:rsidP="00C723D9">
      <w:pPr>
        <w:spacing w:after="120"/>
        <w:rPr>
          <w:rFonts w:ascii="Poppins" w:hAnsi="Poppins" w:cs="Poppins"/>
          <w:b/>
          <w:bCs/>
          <w:sz w:val="22"/>
          <w:szCs w:val="22"/>
        </w:rPr>
      </w:pPr>
      <w:r w:rsidRPr="009979EF">
        <w:rPr>
          <w:rFonts w:ascii="Poppins" w:hAnsi="Poppins" w:cs="Poppins"/>
          <w:b/>
          <w:bCs/>
          <w:sz w:val="22"/>
          <w:szCs w:val="22"/>
        </w:rPr>
        <w:t xml:space="preserve">How to Pay </w:t>
      </w:r>
    </w:p>
    <w:p w14:paraId="36B2F714"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1. By BACS transfer Payment can be made direct to </w:t>
      </w:r>
      <w:r w:rsidRPr="009979EF">
        <w:rPr>
          <w:rFonts w:ascii="Poppins" w:hAnsi="Poppins" w:cs="Poppins"/>
          <w:b/>
          <w:bCs/>
          <w:sz w:val="22"/>
          <w:szCs w:val="22"/>
        </w:rPr>
        <w:t>Glanville Training Academy Limited</w:t>
      </w:r>
      <w:r w:rsidRPr="009979EF">
        <w:rPr>
          <w:rFonts w:ascii="Poppins" w:hAnsi="Poppins" w:cs="Poppins"/>
          <w:sz w:val="22"/>
          <w:szCs w:val="22"/>
        </w:rPr>
        <w:t xml:space="preserve"> by BACS transfer using the following account details Bank: </w:t>
      </w:r>
      <w:r w:rsidRPr="009979EF">
        <w:rPr>
          <w:rFonts w:ascii="Poppins" w:hAnsi="Poppins" w:cs="Poppins"/>
          <w:b/>
          <w:bCs/>
          <w:sz w:val="22"/>
          <w:szCs w:val="22"/>
        </w:rPr>
        <w:t>HSBC sort code 40-27-15 Account Number 95786541</w:t>
      </w:r>
    </w:p>
    <w:p w14:paraId="0ABD95C2" w14:textId="0F5AE6CA"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2. By </w:t>
      </w:r>
      <w:r w:rsidR="009979EF" w:rsidRPr="009979EF">
        <w:rPr>
          <w:rFonts w:ascii="Poppins" w:hAnsi="Poppins" w:cs="Poppins"/>
          <w:sz w:val="22"/>
          <w:szCs w:val="22"/>
        </w:rPr>
        <w:t>Post,</w:t>
      </w:r>
      <w:r w:rsidRPr="009979EF">
        <w:rPr>
          <w:rFonts w:ascii="Poppins" w:hAnsi="Poppins" w:cs="Poppins"/>
          <w:sz w:val="22"/>
          <w:szCs w:val="22"/>
        </w:rPr>
        <w:t xml:space="preserve"> </w:t>
      </w:r>
      <w:r w:rsidR="009979EF" w:rsidRPr="009979EF">
        <w:rPr>
          <w:rFonts w:ascii="Poppins" w:hAnsi="Poppins" w:cs="Poppins"/>
          <w:sz w:val="22"/>
          <w:szCs w:val="22"/>
        </w:rPr>
        <w:t>please</w:t>
      </w:r>
      <w:r w:rsidRPr="009979EF">
        <w:rPr>
          <w:rFonts w:ascii="Poppins" w:hAnsi="Poppins" w:cs="Poppins"/>
          <w:sz w:val="22"/>
          <w:szCs w:val="22"/>
        </w:rPr>
        <w:t xml:space="preserve"> make cheques payable to </w:t>
      </w:r>
      <w:r w:rsidRPr="009979EF">
        <w:rPr>
          <w:rFonts w:ascii="Poppins" w:hAnsi="Poppins" w:cs="Poppins"/>
          <w:b/>
          <w:bCs/>
          <w:sz w:val="22"/>
          <w:szCs w:val="22"/>
        </w:rPr>
        <w:t>Glanville Training Academy Limited</w:t>
      </w:r>
    </w:p>
    <w:p w14:paraId="2626DEA3"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3. By Credit or Debit Card</w:t>
      </w:r>
    </w:p>
    <w:p w14:paraId="3C37DEAB" w14:textId="3AF8215D"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Glanville Training Academy can accept payment by Credit or Debit card. Please contact our account team on </w:t>
      </w:r>
      <w:r w:rsidRPr="009979EF">
        <w:rPr>
          <w:rFonts w:ascii="Poppins" w:hAnsi="Poppins" w:cs="Poppins"/>
          <w:b/>
          <w:bCs/>
          <w:sz w:val="22"/>
          <w:szCs w:val="22"/>
        </w:rPr>
        <w:t xml:space="preserve">01752 690 </w:t>
      </w:r>
      <w:r w:rsidR="009979EF" w:rsidRPr="009979EF">
        <w:rPr>
          <w:rFonts w:ascii="Poppins" w:hAnsi="Poppins" w:cs="Poppins"/>
          <w:b/>
          <w:bCs/>
          <w:sz w:val="22"/>
          <w:szCs w:val="22"/>
        </w:rPr>
        <w:t>400</w:t>
      </w:r>
      <w:r w:rsidR="009979EF" w:rsidRPr="009979EF">
        <w:rPr>
          <w:rFonts w:ascii="Poppins" w:hAnsi="Poppins" w:cs="Poppins"/>
          <w:sz w:val="22"/>
          <w:szCs w:val="22"/>
        </w:rPr>
        <w:t xml:space="preserve"> where</w:t>
      </w:r>
      <w:r w:rsidRPr="009979EF">
        <w:rPr>
          <w:rFonts w:ascii="Poppins" w:hAnsi="Poppins" w:cs="Poppins"/>
          <w:sz w:val="22"/>
          <w:szCs w:val="22"/>
        </w:rPr>
        <w:t xml:space="preserve"> a member of our team will be happy to </w:t>
      </w:r>
      <w:proofErr w:type="gramStart"/>
      <w:r w:rsidRPr="009979EF">
        <w:rPr>
          <w:rFonts w:ascii="Poppins" w:hAnsi="Poppins" w:cs="Poppins"/>
          <w:sz w:val="22"/>
          <w:szCs w:val="22"/>
        </w:rPr>
        <w:t>take</w:t>
      </w:r>
      <w:proofErr w:type="gramEnd"/>
      <w:r w:rsidRPr="009979EF">
        <w:rPr>
          <w:rFonts w:ascii="Poppins" w:hAnsi="Poppins" w:cs="Poppins"/>
          <w:sz w:val="22"/>
          <w:szCs w:val="22"/>
        </w:rPr>
        <w:t xml:space="preserve"> the payment over the telephone or provide you with a copy of our booking form. </w:t>
      </w:r>
    </w:p>
    <w:p w14:paraId="46661C97" w14:textId="77777777" w:rsidR="00C723D9" w:rsidRPr="009979EF" w:rsidRDefault="00C723D9" w:rsidP="00C723D9">
      <w:pPr>
        <w:spacing w:after="120"/>
        <w:jc w:val="both"/>
        <w:rPr>
          <w:rFonts w:ascii="Poppins" w:hAnsi="Poppins" w:cs="Poppins"/>
          <w:sz w:val="22"/>
          <w:szCs w:val="22"/>
        </w:rPr>
      </w:pPr>
      <w:r w:rsidRPr="009979EF">
        <w:rPr>
          <w:rFonts w:ascii="Poppins" w:hAnsi="Poppins" w:cs="Poppins"/>
          <w:sz w:val="22"/>
          <w:szCs w:val="22"/>
        </w:rPr>
        <w:t xml:space="preserve">Once payment has been taken, you will receive confirmation of the transaction by email. </w:t>
      </w:r>
    </w:p>
    <w:p w14:paraId="4A7BF248" w14:textId="0E64443E" w:rsidR="00C723D9" w:rsidRPr="009979EF" w:rsidRDefault="00C723D9" w:rsidP="00C723D9">
      <w:pPr>
        <w:spacing w:after="120"/>
        <w:jc w:val="both"/>
        <w:rPr>
          <w:rFonts w:ascii="Poppins" w:hAnsi="Poppins" w:cs="Poppins"/>
          <w:b/>
          <w:bCs/>
          <w:sz w:val="22"/>
          <w:szCs w:val="22"/>
        </w:rPr>
      </w:pPr>
      <w:r w:rsidRPr="009979EF">
        <w:rPr>
          <w:rFonts w:ascii="Poppins" w:hAnsi="Poppins" w:cs="Poppins"/>
          <w:b/>
          <w:bCs/>
          <w:sz w:val="22"/>
          <w:szCs w:val="22"/>
        </w:rPr>
        <w:t xml:space="preserve">Invoice / Account queries </w:t>
      </w:r>
      <w:r w:rsidR="001D7A42" w:rsidRPr="009979EF">
        <w:rPr>
          <w:rFonts w:ascii="Poppins" w:hAnsi="Poppins" w:cs="Poppins"/>
          <w:b/>
          <w:bCs/>
          <w:sz w:val="22"/>
          <w:szCs w:val="22"/>
        </w:rPr>
        <w:t xml:space="preserve">- </w:t>
      </w:r>
      <w:r w:rsidRPr="009979EF">
        <w:rPr>
          <w:rFonts w:ascii="Poppins" w:hAnsi="Poppins" w:cs="Poppins"/>
          <w:sz w:val="22"/>
          <w:szCs w:val="22"/>
        </w:rPr>
        <w:t xml:space="preserve">Any queries relating to invoices should be raised within 7 days by contacting our accounts team. Customers wishing to be considered for account terms should contact the accounts team. Accounts Team Contact Details </w:t>
      </w:r>
      <w:r w:rsidRPr="009979EF">
        <w:rPr>
          <w:rFonts w:ascii="Poppins" w:hAnsi="Poppins" w:cs="Poppins"/>
          <w:b/>
          <w:bCs/>
          <w:sz w:val="22"/>
          <w:szCs w:val="22"/>
        </w:rPr>
        <w:t>01752 690 400</w:t>
      </w:r>
      <w:r w:rsidRPr="009979EF">
        <w:rPr>
          <w:rFonts w:ascii="Poppins" w:hAnsi="Poppins" w:cs="Poppins"/>
          <w:sz w:val="22"/>
          <w:szCs w:val="22"/>
        </w:rPr>
        <w:t xml:space="preserve"> or </w:t>
      </w:r>
      <w:hyperlink r:id="rId9" w:history="1">
        <w:r w:rsidRPr="009979EF">
          <w:rPr>
            <w:rStyle w:val="Hyperlink"/>
            <w:rFonts w:ascii="Poppins" w:hAnsi="Poppins" w:cs="Poppins"/>
            <w:color w:val="auto"/>
            <w:sz w:val="22"/>
            <w:szCs w:val="22"/>
          </w:rPr>
          <w:t>accounts@glanvilleltd.co.uk</w:t>
        </w:r>
      </w:hyperlink>
    </w:p>
    <w:sectPr w:rsidR="00C723D9" w:rsidRPr="009979EF" w:rsidSect="009979EF">
      <w:headerReference w:type="default" r:id="rId10"/>
      <w:footerReference w:type="default" r:id="rId11"/>
      <w:pgSz w:w="12240" w:h="15840"/>
      <w:pgMar w:top="1701" w:right="851" w:bottom="851"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58CC" w14:textId="77777777" w:rsidR="000B4017" w:rsidRDefault="000B4017" w:rsidP="009979EF">
      <w:r>
        <w:separator/>
      </w:r>
    </w:p>
  </w:endnote>
  <w:endnote w:type="continuationSeparator" w:id="0">
    <w:p w14:paraId="4499D187" w14:textId="77777777" w:rsidR="000B4017" w:rsidRDefault="000B4017" w:rsidP="0099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e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jc w:val="center"/>
      <w:tblLook w:val="04A0" w:firstRow="1" w:lastRow="0" w:firstColumn="1" w:lastColumn="0" w:noHBand="0" w:noVBand="1"/>
    </w:tblPr>
    <w:tblGrid>
      <w:gridCol w:w="2269"/>
      <w:gridCol w:w="3372"/>
      <w:gridCol w:w="1164"/>
      <w:gridCol w:w="860"/>
      <w:gridCol w:w="1502"/>
      <w:gridCol w:w="1040"/>
    </w:tblGrid>
    <w:tr w:rsidR="009979EF" w:rsidRPr="00591F07" w14:paraId="4340841F" w14:textId="77777777" w:rsidTr="00D058E9">
      <w:trPr>
        <w:trHeight w:val="260"/>
        <w:jc w:val="center"/>
      </w:trPr>
      <w:tc>
        <w:tcPr>
          <w:tcW w:w="2269" w:type="dxa"/>
          <w:tcBorders>
            <w:top w:val="single" w:sz="4" w:space="0" w:color="auto"/>
            <w:left w:val="single" w:sz="4" w:space="0" w:color="auto"/>
            <w:bottom w:val="single" w:sz="4" w:space="0" w:color="auto"/>
            <w:right w:val="single" w:sz="4" w:space="0" w:color="auto"/>
          </w:tcBorders>
          <w:hideMark/>
        </w:tcPr>
        <w:p w14:paraId="7FD21D83"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Document Reference</w:t>
          </w:r>
        </w:p>
      </w:tc>
      <w:tc>
        <w:tcPr>
          <w:tcW w:w="3372" w:type="dxa"/>
          <w:tcBorders>
            <w:top w:val="single" w:sz="4" w:space="0" w:color="auto"/>
            <w:left w:val="single" w:sz="4" w:space="0" w:color="auto"/>
            <w:bottom w:val="single" w:sz="4" w:space="0" w:color="auto"/>
            <w:right w:val="single" w:sz="4" w:space="0" w:color="auto"/>
          </w:tcBorders>
        </w:tcPr>
        <w:p w14:paraId="3AC33549" w14:textId="1FC3124D" w:rsidR="009979EF" w:rsidRPr="00591F07" w:rsidRDefault="009979EF" w:rsidP="009979EF">
          <w:pPr>
            <w:pStyle w:val="Footer"/>
            <w:rPr>
              <w:rFonts w:ascii="Calibre Regular" w:hAnsi="Calibre Regular"/>
              <w:sz w:val="16"/>
              <w:szCs w:val="16"/>
            </w:rPr>
          </w:pPr>
          <w:r>
            <w:rPr>
              <w:rFonts w:ascii="Calibre Regular" w:hAnsi="Calibre Regular"/>
              <w:sz w:val="16"/>
              <w:szCs w:val="16"/>
            </w:rPr>
            <w:t>Terms and Conditions</w:t>
          </w:r>
        </w:p>
      </w:tc>
      <w:tc>
        <w:tcPr>
          <w:tcW w:w="1164" w:type="dxa"/>
          <w:tcBorders>
            <w:top w:val="single" w:sz="4" w:space="0" w:color="auto"/>
            <w:left w:val="single" w:sz="4" w:space="0" w:color="auto"/>
            <w:bottom w:val="single" w:sz="4" w:space="0" w:color="auto"/>
            <w:right w:val="single" w:sz="4" w:space="0" w:color="auto"/>
          </w:tcBorders>
          <w:hideMark/>
        </w:tcPr>
        <w:p w14:paraId="6DE00450"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Version</w:t>
          </w:r>
        </w:p>
      </w:tc>
      <w:tc>
        <w:tcPr>
          <w:tcW w:w="860" w:type="dxa"/>
          <w:tcBorders>
            <w:top w:val="single" w:sz="4" w:space="0" w:color="auto"/>
            <w:left w:val="single" w:sz="4" w:space="0" w:color="auto"/>
            <w:bottom w:val="single" w:sz="4" w:space="0" w:color="auto"/>
            <w:right w:val="single" w:sz="4" w:space="0" w:color="auto"/>
          </w:tcBorders>
          <w:hideMark/>
        </w:tcPr>
        <w:p w14:paraId="46126640" w14:textId="0EA81A38"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0</w:t>
          </w:r>
          <w:r>
            <w:rPr>
              <w:rFonts w:ascii="Calibre Regular" w:hAnsi="Calibre Regular"/>
              <w:sz w:val="16"/>
              <w:szCs w:val="16"/>
            </w:rPr>
            <w:t>2</w:t>
          </w:r>
        </w:p>
      </w:tc>
      <w:tc>
        <w:tcPr>
          <w:tcW w:w="1502" w:type="dxa"/>
          <w:tcBorders>
            <w:top w:val="single" w:sz="4" w:space="0" w:color="auto"/>
            <w:left w:val="single" w:sz="4" w:space="0" w:color="auto"/>
            <w:bottom w:val="single" w:sz="4" w:space="0" w:color="auto"/>
            <w:right w:val="single" w:sz="4" w:space="0" w:color="auto"/>
          </w:tcBorders>
          <w:hideMark/>
        </w:tcPr>
        <w:sdt>
          <w:sdtPr>
            <w:rPr>
              <w:rFonts w:ascii="Calibre Regular" w:hAnsi="Calibre Regular"/>
              <w:sz w:val="16"/>
              <w:szCs w:val="16"/>
            </w:rPr>
            <w:id w:val="1950357590"/>
            <w:docPartObj>
              <w:docPartGallery w:val="Page Numbers (Top of Page)"/>
              <w:docPartUnique/>
            </w:docPartObj>
          </w:sdtPr>
          <w:sdtContent>
            <w:p w14:paraId="4AE98263"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Version Date</w:t>
              </w:r>
            </w:p>
          </w:sdtContent>
        </w:sdt>
      </w:tc>
      <w:tc>
        <w:tcPr>
          <w:tcW w:w="1040" w:type="dxa"/>
          <w:tcBorders>
            <w:top w:val="single" w:sz="4" w:space="0" w:color="auto"/>
            <w:left w:val="single" w:sz="4" w:space="0" w:color="auto"/>
            <w:bottom w:val="single" w:sz="4" w:space="0" w:color="auto"/>
            <w:right w:val="single" w:sz="4" w:space="0" w:color="auto"/>
          </w:tcBorders>
          <w:hideMark/>
        </w:tcPr>
        <w:p w14:paraId="7B3BE155" w14:textId="77777777" w:rsidR="009979EF" w:rsidRPr="00591F07" w:rsidRDefault="009979EF" w:rsidP="009979EF">
          <w:pPr>
            <w:pStyle w:val="Footer"/>
            <w:rPr>
              <w:rFonts w:ascii="Calibre Regular" w:hAnsi="Calibre Regular"/>
              <w:sz w:val="16"/>
              <w:szCs w:val="16"/>
            </w:rPr>
          </w:pPr>
          <w:r>
            <w:rPr>
              <w:rFonts w:ascii="Calibre Regular" w:hAnsi="Calibre Regular"/>
              <w:sz w:val="16"/>
              <w:szCs w:val="16"/>
            </w:rPr>
            <w:t>Oct</w:t>
          </w:r>
          <w:r w:rsidRPr="00591F07">
            <w:rPr>
              <w:rFonts w:ascii="Calibre Regular" w:hAnsi="Calibre Regular"/>
              <w:sz w:val="16"/>
              <w:szCs w:val="16"/>
            </w:rPr>
            <w:t xml:space="preserve"> 2025</w:t>
          </w:r>
        </w:p>
      </w:tc>
    </w:tr>
    <w:tr w:rsidR="009979EF" w:rsidRPr="00591F07" w14:paraId="35252326" w14:textId="77777777" w:rsidTr="00D058E9">
      <w:trPr>
        <w:trHeight w:val="200"/>
        <w:jc w:val="center"/>
      </w:trPr>
      <w:tc>
        <w:tcPr>
          <w:tcW w:w="2269" w:type="dxa"/>
          <w:tcBorders>
            <w:top w:val="single" w:sz="4" w:space="0" w:color="auto"/>
            <w:left w:val="single" w:sz="4" w:space="0" w:color="auto"/>
            <w:bottom w:val="single" w:sz="4" w:space="0" w:color="auto"/>
            <w:right w:val="single" w:sz="4" w:space="0" w:color="auto"/>
          </w:tcBorders>
          <w:hideMark/>
        </w:tcPr>
        <w:p w14:paraId="1D19780C"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Author</w:t>
          </w:r>
        </w:p>
      </w:tc>
      <w:tc>
        <w:tcPr>
          <w:tcW w:w="3372" w:type="dxa"/>
          <w:tcBorders>
            <w:top w:val="single" w:sz="4" w:space="0" w:color="auto"/>
            <w:left w:val="single" w:sz="4" w:space="0" w:color="auto"/>
            <w:bottom w:val="single" w:sz="4" w:space="0" w:color="auto"/>
            <w:right w:val="single" w:sz="4" w:space="0" w:color="auto"/>
          </w:tcBorders>
          <w:hideMark/>
        </w:tcPr>
        <w:p w14:paraId="751F3594" w14:textId="57A1EC6D" w:rsidR="009979EF" w:rsidRPr="00591F07" w:rsidRDefault="009979EF" w:rsidP="009979EF">
          <w:pPr>
            <w:pStyle w:val="Footer"/>
            <w:rPr>
              <w:rFonts w:ascii="Calibre Regular" w:hAnsi="Calibre Regular"/>
              <w:sz w:val="16"/>
              <w:szCs w:val="16"/>
            </w:rPr>
          </w:pPr>
          <w:r>
            <w:rPr>
              <w:rFonts w:ascii="Calibre Regular" w:hAnsi="Calibre Regular"/>
              <w:sz w:val="16"/>
              <w:szCs w:val="16"/>
            </w:rPr>
            <w:t xml:space="preserve">Training Dept </w:t>
          </w:r>
        </w:p>
      </w:tc>
      <w:tc>
        <w:tcPr>
          <w:tcW w:w="1164" w:type="dxa"/>
          <w:tcBorders>
            <w:top w:val="single" w:sz="4" w:space="0" w:color="auto"/>
            <w:left w:val="single" w:sz="4" w:space="0" w:color="auto"/>
            <w:bottom w:val="single" w:sz="4" w:space="0" w:color="auto"/>
            <w:right w:val="single" w:sz="4" w:space="0" w:color="auto"/>
          </w:tcBorders>
          <w:hideMark/>
        </w:tcPr>
        <w:p w14:paraId="49576B12"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Pages</w:t>
          </w:r>
        </w:p>
      </w:tc>
      <w:tc>
        <w:tcPr>
          <w:tcW w:w="3402" w:type="dxa"/>
          <w:gridSpan w:val="3"/>
          <w:tcBorders>
            <w:top w:val="single" w:sz="4" w:space="0" w:color="auto"/>
            <w:left w:val="single" w:sz="4" w:space="0" w:color="auto"/>
            <w:bottom w:val="single" w:sz="4" w:space="0" w:color="auto"/>
            <w:right w:val="single" w:sz="4" w:space="0" w:color="auto"/>
          </w:tcBorders>
          <w:hideMark/>
        </w:tcPr>
        <w:p w14:paraId="39B37891"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Page</w:t>
          </w:r>
          <w:r w:rsidRPr="00591F07">
            <w:rPr>
              <w:rFonts w:ascii="Calibre Regular" w:hAnsi="Calibre Regular"/>
              <w:b/>
              <w:bCs/>
              <w:sz w:val="16"/>
              <w:szCs w:val="16"/>
            </w:rPr>
            <w:t xml:space="preserve"> </w:t>
          </w:r>
          <w:r w:rsidRPr="00591F07">
            <w:rPr>
              <w:rFonts w:ascii="Calibre Regular" w:hAnsi="Calibre Regular"/>
              <w:b/>
              <w:bCs/>
              <w:sz w:val="16"/>
              <w:szCs w:val="16"/>
            </w:rPr>
            <w:fldChar w:fldCharType="begin"/>
          </w:r>
          <w:r w:rsidRPr="00591F07">
            <w:rPr>
              <w:rFonts w:ascii="Calibre Regular" w:hAnsi="Calibre Regular"/>
              <w:b/>
              <w:bCs/>
              <w:sz w:val="16"/>
              <w:szCs w:val="16"/>
            </w:rPr>
            <w:instrText>PAGE</w:instrText>
          </w:r>
          <w:r w:rsidRPr="00591F07">
            <w:rPr>
              <w:rFonts w:ascii="Calibre Regular" w:hAnsi="Calibre Regular"/>
              <w:b/>
              <w:bCs/>
              <w:sz w:val="16"/>
              <w:szCs w:val="16"/>
            </w:rPr>
            <w:fldChar w:fldCharType="separate"/>
          </w:r>
          <w:r w:rsidRPr="00591F07">
            <w:rPr>
              <w:rFonts w:ascii="Calibre Regular" w:hAnsi="Calibre Regular"/>
              <w:b/>
              <w:bCs/>
              <w:sz w:val="16"/>
              <w:szCs w:val="16"/>
            </w:rPr>
            <w:t>1</w:t>
          </w:r>
          <w:r w:rsidRPr="00591F07">
            <w:rPr>
              <w:rFonts w:ascii="Calibre Regular" w:hAnsi="Calibre Regular"/>
              <w:sz w:val="16"/>
              <w:szCs w:val="16"/>
            </w:rPr>
            <w:fldChar w:fldCharType="end"/>
          </w:r>
          <w:r w:rsidRPr="00591F07">
            <w:rPr>
              <w:rFonts w:ascii="Calibre Regular" w:hAnsi="Calibre Regular"/>
              <w:sz w:val="16"/>
              <w:szCs w:val="16"/>
            </w:rPr>
            <w:t xml:space="preserve"> of </w:t>
          </w:r>
          <w:r w:rsidRPr="00591F07">
            <w:rPr>
              <w:rFonts w:ascii="Calibre Regular" w:hAnsi="Calibre Regular"/>
              <w:b/>
              <w:bCs/>
              <w:sz w:val="16"/>
              <w:szCs w:val="16"/>
            </w:rPr>
            <w:fldChar w:fldCharType="begin"/>
          </w:r>
          <w:r w:rsidRPr="00591F07">
            <w:rPr>
              <w:rFonts w:ascii="Calibre Regular" w:hAnsi="Calibre Regular"/>
              <w:b/>
              <w:bCs/>
              <w:sz w:val="16"/>
              <w:szCs w:val="16"/>
            </w:rPr>
            <w:instrText>NUMPAGES</w:instrText>
          </w:r>
          <w:r w:rsidRPr="00591F07">
            <w:rPr>
              <w:rFonts w:ascii="Calibre Regular" w:hAnsi="Calibre Regular"/>
              <w:b/>
              <w:bCs/>
              <w:sz w:val="16"/>
              <w:szCs w:val="16"/>
            </w:rPr>
            <w:fldChar w:fldCharType="separate"/>
          </w:r>
          <w:r w:rsidRPr="00591F07">
            <w:rPr>
              <w:rFonts w:ascii="Calibre Regular" w:hAnsi="Calibre Regular"/>
              <w:b/>
              <w:bCs/>
              <w:sz w:val="16"/>
              <w:szCs w:val="16"/>
            </w:rPr>
            <w:t>19</w:t>
          </w:r>
          <w:r w:rsidRPr="00591F07">
            <w:rPr>
              <w:rFonts w:ascii="Calibre Regular" w:hAnsi="Calibre Regular"/>
              <w:sz w:val="16"/>
              <w:szCs w:val="16"/>
            </w:rPr>
            <w:fldChar w:fldCharType="end"/>
          </w:r>
        </w:p>
      </w:tc>
    </w:tr>
    <w:tr w:rsidR="009979EF" w:rsidRPr="00591F07" w14:paraId="49434FC6" w14:textId="77777777" w:rsidTr="00D058E9">
      <w:trPr>
        <w:trHeight w:val="188"/>
        <w:jc w:val="center"/>
      </w:trPr>
      <w:tc>
        <w:tcPr>
          <w:tcW w:w="2269" w:type="dxa"/>
          <w:tcBorders>
            <w:top w:val="single" w:sz="4" w:space="0" w:color="auto"/>
            <w:left w:val="single" w:sz="4" w:space="0" w:color="auto"/>
            <w:bottom w:val="single" w:sz="4" w:space="0" w:color="auto"/>
            <w:right w:val="single" w:sz="4" w:space="0" w:color="auto"/>
          </w:tcBorders>
          <w:hideMark/>
        </w:tcPr>
        <w:p w14:paraId="6CC245CA"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Reviewed By</w:t>
          </w:r>
        </w:p>
      </w:tc>
      <w:tc>
        <w:tcPr>
          <w:tcW w:w="3372" w:type="dxa"/>
          <w:tcBorders>
            <w:top w:val="single" w:sz="4" w:space="0" w:color="auto"/>
            <w:left w:val="single" w:sz="4" w:space="0" w:color="auto"/>
            <w:bottom w:val="single" w:sz="4" w:space="0" w:color="auto"/>
            <w:right w:val="single" w:sz="4" w:space="0" w:color="auto"/>
          </w:tcBorders>
          <w:hideMark/>
        </w:tcPr>
        <w:p w14:paraId="73FC402E" w14:textId="38AD0016" w:rsidR="009979EF" w:rsidRPr="00591F07" w:rsidRDefault="009979EF" w:rsidP="009979EF">
          <w:pPr>
            <w:pStyle w:val="Footer"/>
            <w:rPr>
              <w:rFonts w:ascii="Calibre Regular" w:hAnsi="Calibre Regular"/>
              <w:sz w:val="16"/>
              <w:szCs w:val="16"/>
            </w:rPr>
          </w:pPr>
          <w:r>
            <w:rPr>
              <w:rFonts w:ascii="Calibre Regular" w:hAnsi="Calibre Regular"/>
              <w:sz w:val="16"/>
              <w:szCs w:val="16"/>
            </w:rPr>
            <w:t>Finance</w:t>
          </w:r>
        </w:p>
      </w:tc>
      <w:tc>
        <w:tcPr>
          <w:tcW w:w="2024" w:type="dxa"/>
          <w:gridSpan w:val="2"/>
          <w:tcBorders>
            <w:top w:val="single" w:sz="4" w:space="0" w:color="auto"/>
            <w:left w:val="single" w:sz="4" w:space="0" w:color="auto"/>
            <w:bottom w:val="single" w:sz="4" w:space="0" w:color="auto"/>
            <w:right w:val="single" w:sz="4" w:space="0" w:color="auto"/>
          </w:tcBorders>
          <w:hideMark/>
        </w:tcPr>
        <w:p w14:paraId="2F3710D5" w14:textId="77777777" w:rsidR="009979EF" w:rsidRPr="00591F07" w:rsidRDefault="009979EF" w:rsidP="009979EF">
          <w:pPr>
            <w:pStyle w:val="Footer"/>
            <w:rPr>
              <w:rFonts w:ascii="Calibre Regular" w:hAnsi="Calibre Regular"/>
              <w:sz w:val="16"/>
              <w:szCs w:val="16"/>
            </w:rPr>
          </w:pPr>
          <w:r w:rsidRPr="00591F07">
            <w:rPr>
              <w:rFonts w:ascii="Calibre Regular" w:hAnsi="Calibre Regular"/>
              <w:sz w:val="16"/>
              <w:szCs w:val="16"/>
            </w:rPr>
            <w:t xml:space="preserve">Approved By </w:t>
          </w:r>
        </w:p>
      </w:tc>
      <w:tc>
        <w:tcPr>
          <w:tcW w:w="2542" w:type="dxa"/>
          <w:gridSpan w:val="2"/>
          <w:tcBorders>
            <w:top w:val="single" w:sz="4" w:space="0" w:color="auto"/>
            <w:left w:val="single" w:sz="4" w:space="0" w:color="auto"/>
            <w:bottom w:val="single" w:sz="4" w:space="0" w:color="auto"/>
            <w:right w:val="single" w:sz="4" w:space="0" w:color="auto"/>
          </w:tcBorders>
          <w:hideMark/>
        </w:tcPr>
        <w:p w14:paraId="6E8D9969" w14:textId="77777777" w:rsidR="009979EF" w:rsidRPr="00591F07" w:rsidRDefault="009979EF" w:rsidP="009979EF">
          <w:pPr>
            <w:pStyle w:val="Footer"/>
            <w:rPr>
              <w:rFonts w:ascii="Calibre Regular" w:hAnsi="Calibre Regular"/>
              <w:sz w:val="16"/>
              <w:szCs w:val="16"/>
            </w:rPr>
          </w:pPr>
          <w:r>
            <w:rPr>
              <w:rFonts w:ascii="Calibre Regular" w:hAnsi="Calibre Regular"/>
              <w:sz w:val="16"/>
              <w:szCs w:val="16"/>
            </w:rPr>
            <w:t>Managing Director</w:t>
          </w:r>
        </w:p>
      </w:tc>
    </w:tr>
    <w:tr w:rsidR="009979EF" w:rsidRPr="00591F07" w14:paraId="716430CA" w14:textId="77777777" w:rsidTr="00D058E9">
      <w:trPr>
        <w:trHeight w:val="200"/>
        <w:jc w:val="center"/>
      </w:trPr>
      <w:tc>
        <w:tcPr>
          <w:tcW w:w="10207" w:type="dxa"/>
          <w:gridSpan w:val="6"/>
          <w:tcBorders>
            <w:top w:val="single" w:sz="4" w:space="0" w:color="auto"/>
            <w:left w:val="single" w:sz="4" w:space="0" w:color="auto"/>
            <w:bottom w:val="single" w:sz="4" w:space="0" w:color="auto"/>
            <w:right w:val="single" w:sz="4" w:space="0" w:color="auto"/>
          </w:tcBorders>
          <w:hideMark/>
        </w:tcPr>
        <w:p w14:paraId="365837DF" w14:textId="77777777" w:rsidR="009979EF" w:rsidRPr="00591F07" w:rsidRDefault="009979EF" w:rsidP="009979EF">
          <w:pPr>
            <w:pStyle w:val="Footer"/>
            <w:jc w:val="center"/>
            <w:rPr>
              <w:rFonts w:ascii="Calibre Regular" w:hAnsi="Calibre Regular"/>
              <w:sz w:val="16"/>
              <w:szCs w:val="16"/>
            </w:rPr>
          </w:pPr>
          <w:r w:rsidRPr="00591F07">
            <w:rPr>
              <w:rFonts w:ascii="Calibre Regular" w:hAnsi="Calibre Regular"/>
              <w:sz w:val="16"/>
              <w:szCs w:val="16"/>
            </w:rPr>
            <w:t>UNCONTROLLED IF PRINTED OR COPIED. Always check the IMS for latest version</w:t>
          </w:r>
        </w:p>
      </w:tc>
    </w:tr>
  </w:tbl>
  <w:p w14:paraId="05334279" w14:textId="77777777" w:rsidR="009979EF" w:rsidRDefault="0099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EA29" w14:textId="77777777" w:rsidR="000B4017" w:rsidRDefault="000B4017" w:rsidP="009979EF">
      <w:r>
        <w:separator/>
      </w:r>
    </w:p>
  </w:footnote>
  <w:footnote w:type="continuationSeparator" w:id="0">
    <w:p w14:paraId="7906CB58" w14:textId="77777777" w:rsidR="000B4017" w:rsidRDefault="000B4017" w:rsidP="00997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42E6" w14:textId="3374045B" w:rsidR="009979EF" w:rsidRDefault="009979EF">
    <w:pPr>
      <w:pStyle w:val="Header"/>
    </w:pPr>
    <w:r>
      <w:rPr>
        <w:noProof/>
      </w:rPr>
      <w:drawing>
        <wp:anchor distT="0" distB="0" distL="114300" distR="114300" simplePos="0" relativeHeight="251659264" behindDoc="0" locked="0" layoutInCell="1" allowOverlap="1" wp14:anchorId="1E608ACC" wp14:editId="70C21DBE">
          <wp:simplePos x="0" y="0"/>
          <wp:positionH relativeFrom="column">
            <wp:posOffset>-61706</wp:posOffset>
          </wp:positionH>
          <wp:positionV relativeFrom="page">
            <wp:posOffset>184107</wp:posOffset>
          </wp:positionV>
          <wp:extent cx="646430" cy="676910"/>
          <wp:effectExtent l="0" t="0" r="1270" b="8890"/>
          <wp:wrapNone/>
          <wp:docPr id="1999583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7691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F069DAD" wp14:editId="5C29671C">
          <wp:simplePos x="0" y="0"/>
          <wp:positionH relativeFrom="margin">
            <wp:posOffset>4252544</wp:posOffset>
          </wp:positionH>
          <wp:positionV relativeFrom="page">
            <wp:posOffset>159560</wp:posOffset>
          </wp:positionV>
          <wp:extent cx="2430145" cy="627380"/>
          <wp:effectExtent l="0" t="0" r="8255" b="1270"/>
          <wp:wrapNone/>
          <wp:docPr id="294087767"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87767" name="Picture 2" descr="A green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430145" cy="6273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D9"/>
    <w:rsid w:val="000272A1"/>
    <w:rsid w:val="000B4017"/>
    <w:rsid w:val="001D7A42"/>
    <w:rsid w:val="00637207"/>
    <w:rsid w:val="007663A7"/>
    <w:rsid w:val="009979EF"/>
    <w:rsid w:val="00C723D9"/>
    <w:rsid w:val="00CC0206"/>
    <w:rsid w:val="00DF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1CCF9"/>
  <w15:chartTrackingRefBased/>
  <w15:docId w15:val="{28410A48-8D31-458E-BB07-3A44884D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D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72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72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2"/>
    <w:semiHidden/>
    <w:unhideWhenUsed/>
    <w:qFormat/>
    <w:rsid w:val="00C723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723D9"/>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723D9"/>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723D9"/>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723D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723D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723D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semiHidden/>
    <w:rsid w:val="00C7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3D9"/>
    <w:rPr>
      <w:rFonts w:eastAsiaTheme="majorEastAsia" w:cstheme="majorBidi"/>
      <w:color w:val="272727" w:themeColor="text1" w:themeTint="D8"/>
    </w:rPr>
  </w:style>
  <w:style w:type="paragraph" w:styleId="Title">
    <w:name w:val="Title"/>
    <w:basedOn w:val="Normal"/>
    <w:next w:val="Normal"/>
    <w:link w:val="TitleChar"/>
    <w:uiPriority w:val="10"/>
    <w:qFormat/>
    <w:rsid w:val="00C72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3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7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3D9"/>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723D9"/>
    <w:rPr>
      <w:i/>
      <w:iCs/>
      <w:color w:val="404040" w:themeColor="text1" w:themeTint="BF"/>
    </w:rPr>
  </w:style>
  <w:style w:type="paragraph" w:styleId="ListParagraph">
    <w:name w:val="List Paragraph"/>
    <w:basedOn w:val="Normal"/>
    <w:uiPriority w:val="34"/>
    <w:qFormat/>
    <w:rsid w:val="00C723D9"/>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C723D9"/>
    <w:rPr>
      <w:i/>
      <w:iCs/>
      <w:color w:val="0F4761" w:themeColor="accent1" w:themeShade="BF"/>
    </w:rPr>
  </w:style>
  <w:style w:type="paragraph" w:styleId="IntenseQuote">
    <w:name w:val="Intense Quote"/>
    <w:basedOn w:val="Normal"/>
    <w:next w:val="Normal"/>
    <w:link w:val="IntenseQuoteChar"/>
    <w:uiPriority w:val="30"/>
    <w:qFormat/>
    <w:rsid w:val="00C723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C723D9"/>
    <w:rPr>
      <w:i/>
      <w:iCs/>
      <w:color w:val="0F4761" w:themeColor="accent1" w:themeShade="BF"/>
    </w:rPr>
  </w:style>
  <w:style w:type="character" w:styleId="IntenseReference">
    <w:name w:val="Intense Reference"/>
    <w:basedOn w:val="DefaultParagraphFont"/>
    <w:uiPriority w:val="32"/>
    <w:qFormat/>
    <w:rsid w:val="00C723D9"/>
    <w:rPr>
      <w:b/>
      <w:bCs/>
      <w:smallCaps/>
      <w:color w:val="0F4761" w:themeColor="accent1" w:themeShade="BF"/>
      <w:spacing w:val="5"/>
    </w:rPr>
  </w:style>
  <w:style w:type="character" w:styleId="Hyperlink">
    <w:name w:val="Hyperlink"/>
    <w:basedOn w:val="DefaultParagraphFont"/>
    <w:uiPriority w:val="99"/>
    <w:semiHidden/>
    <w:unhideWhenUsed/>
    <w:rsid w:val="00C723D9"/>
    <w:rPr>
      <w:color w:val="467886"/>
      <w:u w:val="single"/>
    </w:rPr>
  </w:style>
  <w:style w:type="paragraph" w:styleId="Header">
    <w:name w:val="header"/>
    <w:basedOn w:val="Normal"/>
    <w:link w:val="HeaderChar"/>
    <w:uiPriority w:val="99"/>
    <w:unhideWhenUsed/>
    <w:rsid w:val="009979EF"/>
    <w:pPr>
      <w:tabs>
        <w:tab w:val="center" w:pos="4513"/>
        <w:tab w:val="right" w:pos="9026"/>
      </w:tabs>
    </w:pPr>
  </w:style>
  <w:style w:type="character" w:customStyle="1" w:styleId="HeaderChar">
    <w:name w:val="Header Char"/>
    <w:basedOn w:val="DefaultParagraphFont"/>
    <w:link w:val="Header"/>
    <w:uiPriority w:val="99"/>
    <w:rsid w:val="009979EF"/>
    <w:rPr>
      <w:rFonts w:ascii="Aptos" w:hAnsi="Aptos" w:cs="Aptos"/>
      <w:kern w:val="0"/>
    </w:rPr>
  </w:style>
  <w:style w:type="paragraph" w:styleId="Footer">
    <w:name w:val="footer"/>
    <w:basedOn w:val="Normal"/>
    <w:link w:val="FooterChar"/>
    <w:uiPriority w:val="99"/>
    <w:unhideWhenUsed/>
    <w:rsid w:val="009979EF"/>
    <w:pPr>
      <w:tabs>
        <w:tab w:val="center" w:pos="4513"/>
        <w:tab w:val="right" w:pos="9026"/>
      </w:tabs>
    </w:pPr>
  </w:style>
  <w:style w:type="character" w:customStyle="1" w:styleId="FooterChar">
    <w:name w:val="Footer Char"/>
    <w:basedOn w:val="DefaultParagraphFont"/>
    <w:link w:val="Footer"/>
    <w:uiPriority w:val="99"/>
    <w:rsid w:val="009979EF"/>
    <w:rPr>
      <w:rFonts w:ascii="Aptos" w:hAnsi="Aptos" w:cs="Aptos"/>
      <w:kern w:val="0"/>
    </w:rPr>
  </w:style>
  <w:style w:type="table" w:styleId="TableGrid">
    <w:name w:val="Table Grid"/>
    <w:basedOn w:val="TableNormal"/>
    <w:uiPriority w:val="59"/>
    <w:rsid w:val="009979E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counts@glanvillelt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8C4C58A89C940AAD759D573C194A1" ma:contentTypeVersion="9" ma:contentTypeDescription="Create a new document." ma:contentTypeScope="" ma:versionID="d7a36f0b3b0e10daa639561c8cf967a3">
  <xsd:schema xmlns:xsd="http://www.w3.org/2001/XMLSchema" xmlns:xs="http://www.w3.org/2001/XMLSchema" xmlns:p="http://schemas.microsoft.com/office/2006/metadata/properties" xmlns:ns3="58152c77-3cb1-43f4-89e2-1b07dfba9bcc" targetNamespace="http://schemas.microsoft.com/office/2006/metadata/properties" ma:root="true" ma:fieldsID="e5231a137fd657c30915b3c9ea94421f" ns3:_="">
    <xsd:import namespace="58152c77-3cb1-43f4-89e2-1b07dfba9b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52c77-3cb1-43f4-89e2-1b07dfba9b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93A80-0A5A-4B11-B44C-C7177B327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67ABB-D82E-40B0-B0AB-6192C9F9DF8F}">
  <ds:schemaRefs>
    <ds:schemaRef ds:uri="http://schemas.microsoft.com/sharepoint/v3/contenttype/forms"/>
  </ds:schemaRefs>
</ds:datastoreItem>
</file>

<file path=customXml/itemProps3.xml><?xml version="1.0" encoding="utf-8"?>
<ds:datastoreItem xmlns:ds="http://schemas.openxmlformats.org/officeDocument/2006/customXml" ds:itemID="{AAED5A69-C0D7-4F03-AFCC-B190D8184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52c77-3cb1-43f4-89e2-1b07dfba9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744</Words>
  <Characters>3951</Characters>
  <Application>Microsoft Office Word</Application>
  <DocSecurity>0</DocSecurity>
  <Lines>101</Lines>
  <Paragraphs>82</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Carter</dc:creator>
  <cp:keywords/>
  <dc:description/>
  <cp:lastModifiedBy>Ian Davis</cp:lastModifiedBy>
  <cp:revision>2</cp:revision>
  <dcterms:created xsi:type="dcterms:W3CDTF">2025-10-06T13:05:00Z</dcterms:created>
  <dcterms:modified xsi:type="dcterms:W3CDTF">2025-10-06T13:05:00Z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baef3289-3462-4a50-acba-6f9bbefb5d1c</vt:lpwstr>
  </property>
  <property fmtid="{D5CDD505-2E9C-101B-9397-08002B2CF9AE}" pid="3" name="ContentTypeId">
    <vt:lpwstr>0x0101004908C4C58A89C940AAD759D573C194A1</vt:lpwstr>
  </property>
</Properties>
</file>